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177</w:t>
      </w:r>
    </w:p>
    <w:p>
      <w:r>
        <w:t>Bundesgericht (BGE), 2008-01-29, FR</w:t>
      </w:r>
    </w:p>
    <w:p>
      <w:r>
        <w:rPr>
          <w:b/>
        </w:rPr>
        <w:t xml:space="preserve">Quelle: </w:t>
      </w:r>
      <w:r>
        <w:t>https://mcp.opencaselaw.ch/entscheid/bge_134 III 177</w:t>
      </w:r>
    </w:p>
    <w:p>
      <w:r>
        <w:t>FR: ATF 134 III 177</w:t>
      </w:r>
    </w:p>
    <w:p>
      <w:r>
        <w:t>IT: DTF 134 III 177</w:t>
      </w:r>
    </w:p>
    <w:p>
      <w:pPr>
        <w:pStyle w:val="Heading2"/>
      </w:pPr>
      <w:r>
        <w:t>Regeste</w:t>
      </w:r>
    </w:p>
    <w:p>
      <w:r>
        <w:t>Regeste Aufschiebende Wirkung der Beschwerde nach SchKG (Art. 36 SchKG); Befugnisse des Betreibungsamtes. Die Praxis, gemäss welcher die Organe der Zwangsvollstreckung grundsätzlich abwarten, bis die Beschwerde- oder Berufungsfrist abgelaufen oder ein Entscheid betreffend die aufschiebende Wirkung gefällt worden ist, bevor sie einen Entscheid vollstrecken, setzt voraus, dass das in Frage stehende Organ die Herrschaft über die Vollstreckung seines Entscheides hat. Dies ist nicht der Fall, wenn das Betreibungsamt die Pfändung aufhebt, da mit diesem Entscheid dem Schuldner ipso facto sein Verfügungsrecht wieder verliehen wird und gleichzeitig die vom Betreibungsamt angeordneten Sicherungsmassregeln hinfällig werden (E. 3).</w:t>
      </w:r>
    </w:p>
    <w:p>
      <w:pPr>
        <w:pStyle w:val="Heading2"/>
      </w:pPr>
      <w:r>
        <w:t>Erwägungen</w:t>
      </w:r>
    </w:p>
    <w:p>
      <w:r>
        <w:rPr>
          <w:b/>
        </w:rPr>
        <w:t>E. 3</w:t>
      </w:r>
    </w:p>
    <w:p>
      <w:r>
        <w:t>L'office recourant estime qu'on ne saurait lui faire grief de s'en être tenu à la règle, déduite de l' art. 36 LP , selon laquelle la plainte LP ne bénéficie d'aucun effet suspensif de par la loi. C'est donc à tort, selon lui, que l'autorité cantonale de surveillance lui a reproché de ne pas avoir différé la levée de la saisie jusqu'à droit connu sur le dépôt éventuel d'une plainte et l'octroi de l'effet suspensif dans le cadre de celle-ci.</w:t>
      </w:r>
    </w:p>
    <w:p>
      <w:r>
        <w:rPr>
          <w:b/>
        </w:rPr>
        <w:t>E. 3.1</w:t>
      </w:r>
    </w:p>
    <w:p>
      <w:r>
        <w:t>L'autorité cantonale supérieure de surveillance s'est référée à la pratique selon laquelle les organes de l'exécution forcée attendent généralement que le délai de plainte ou de recours soit échu ou qu'une décision ait été rendue sur l'effet suspensif avant d'exécuter une décision ( ATF 109 III 37 consid. 2c p. 41; Flavio Cometta, Kommentar zum Bundesgesetz über Schuldbetreibung und Konkurs, n. 10 ad art. 36 LP ; PAULINE ERARD, Commentaire romand de la LP, n. 11 ad art. 36 LP ). En l'espèce, a-t-elle constaté, la levée de la saisie des tableaux était de nature à causer un dommage irréparable à la créancière car, une fois hors de Suisse, ceux-ci devenaient insaisissables, de sorte que le dépôt d'une plainte à l'autorité inférieure de surveillance n'avait plus de raison d'être; l'office avait procédé dans l'urgence alors que rien ne le justifiait, le départ des tableaux ayant été planifié sur trois jours, du 15 au 17 novembre 2005; il avait donc pris le parti de rendre la plainte vaine et de causer un dommage irréparable à la créancière; en renonçant à surseoir à la levée de la saisie BGE 134 III 177 S. 181 jusqu'au dépôt de la plainte et à la décision sur l'effet suspensif, il avait en conséquence commis une erreur d'appréciation et sa décision avait engendré des frais dus aux mesures conservatoires urgentes qu'il avait fallu mettre en oeuvre dans les cantons du Valais, de Bâle et de Genève pour récupérer les tableaux avant qu'ils ne quittent la Suisse, et ces frais ne pouvaient pas être mis à la charge de la créancière.</w:t>
      </w:r>
    </w:p>
    <w:p>
      <w:r>
        <w:rPr>
          <w:b/>
        </w:rPr>
        <w:t>E. 3.2</w:t>
      </w:r>
    </w:p>
    <w:p>
      <w:r>
        <w:t>La pratique sur laquelle s'est fondée l'autorité cantonale implique que l'office ait la maîtrise sur l'exécution de sa décision. Ainsi, lorsque celui-ci décide de procéder à un acte de réalisation, une vente aux enchères publiques par exemple, il est en son pouvoir de différer l'exécution de cette décision jusqu'à droit connu sur une éventuelle plainte ou une requête d'effet suspensif. Tel n'est pas le cas lorsque l'office ordonne la levée d'une saisie, c'est-à-dire met fin à l'interdiction faite au débiteur de disposer des biens saisis sans son autorisation ( art. 96 al. 1 LP ; ATF 107 III 67 consid. 1 p. 69/70 et les arrêts cités), sa décision réintégrant ipso facto le débiteur dans son droit de disposition. Une telle décision n'implique donc en soi aucune exécution sur laquelle l'office aurait la maîtrise. Il suit de là que la pratique invoquée par l'autorité cantonale n'est pas pertinente en l'espèce.</w:t>
      </w:r>
    </w:p>
    <w:p>
      <w:r>
        <w:rPr>
          <w:b/>
        </w:rPr>
        <w:t>E. 3.3</w:t>
      </w:r>
    </w:p>
    <w:p>
      <w:r>
        <w:t>Les mesures de sûreté au sens des art. 98 ss LP , qui présupposent en principe une saisie valablement exécutée ( ATF 131 III 46 ), sans toutefois en constituer des éléments essentiels (P.-R. Gilliéron, Commentaire de la loi fédérale sur la poursuite pour dettes et la faillite, n. 42 ad art. 96 LP ; NICOLAS DE GOTTRAU, Commentaire romand, Poursuite et faillite, n. 2 ad art. 98 LP et les références), tombent automatiquement avec la levée de la saisie. En l'occurrence, la mesure confiant au tiers détenteur la garde provisoire des biens saisis, à charge de les représenter en tout temps ( art. 98 al. 2 LP ), est donc devenue caduque au moment même de la levée de la saisie, l'avis au tiers détenteur n'ayant qu'un effet déclaratif. La créancière intimée laisse entendre que l'office aurait pu différer l'avis donné au tiers détenteur. En informant précipitamment celui-ci de la levée de la saisie, il aurait procédé dans une urgence que rien ne justifiait et causé de la sorte l'enlèvement immédiat des tableaux et la course-poursuite onéreuse qui en a résulté. Cet argument ne résiste pas à l'examen déjà sous l'angle de la causalité. L'avis de levée de la mesure de sûreté donné par l'office au tiers détenteur à 13 h 12 n'a nullement été causal dans l'enlèvement des tableaux, car BGE 134 III 177 S. 182 il est quasi certain que la débitrice, informée de la levée de la saisie juste avant le tiers détenteur (13 h 02), aurait, comme elle en avait d'ailleurs parfaitement le droit, fait enlever les tableaux avant l'octroi de l'effet suspensif (17 h 41) sur simple présentation de la décision de levée de la saisie, étant rappelé que cet enlèvement a effectivement eu lieu entre 13 h 48 et 14 h 39. C'est dès lors à tort que l'autorité cantonale supérieure de surveillance a décidé de laisser les frais consécutifs à la levée de la saisie à la charge de l'office. Ces frais doivent être supportés, conformément à la règle, par la créancière intimée, responsable des dépenses liées à une requête dont elle a finalement été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